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5C7AD10"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30</w:t>
      </w:r>
    </w:p>
    <w:p w14:paraId="5D0721DF" w14:textId="1FCFE468" w:rsidR="00DF1049" w:rsidRDefault="00DF1049" w:rsidP="0055677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پاسخ به اشکالی که در کلمات صاحب جواهر در خصوص عدم امکان تعل</w:t>
      </w:r>
      <w:r w:rsidR="004F2D05">
        <w:rPr>
          <w:rFonts w:ascii="Traditional Arabic" w:hAnsi="Traditional Arabic" w:cs="Abz-2 (Badr)" w:hint="cs"/>
          <w:color w:val="000000"/>
          <w:sz w:val="28"/>
          <w:szCs w:val="28"/>
          <w:rtl/>
          <w:lang w:bidi="fa-IR"/>
        </w:rPr>
        <w:t>ق</w:t>
      </w:r>
      <w:r>
        <w:rPr>
          <w:rFonts w:ascii="Traditional Arabic" w:hAnsi="Traditional Arabic" w:cs="Abz-2 (Badr)" w:hint="cs"/>
          <w:color w:val="000000"/>
          <w:sz w:val="28"/>
          <w:szCs w:val="28"/>
          <w:rtl/>
          <w:lang w:bidi="fa-IR"/>
        </w:rPr>
        <w:t xml:space="preserve"> ملکيت به </w:t>
      </w:r>
      <w:r w:rsidR="004F2D05">
        <w:rPr>
          <w:rFonts w:ascii="Traditional Arabic" w:hAnsi="Traditional Arabic" w:cs="Abz-2 (Badr)" w:hint="cs"/>
          <w:color w:val="000000"/>
          <w:sz w:val="28"/>
          <w:szCs w:val="28"/>
          <w:rtl/>
          <w:lang w:bidi="fa-IR"/>
        </w:rPr>
        <w:t>ذمه</w:t>
      </w:r>
      <w:r>
        <w:rPr>
          <w:rFonts w:ascii="Traditional Arabic" w:hAnsi="Traditional Arabic" w:cs="Abz-2 (Badr)" w:hint="cs"/>
          <w:color w:val="000000"/>
          <w:sz w:val="28"/>
          <w:szCs w:val="28"/>
          <w:rtl/>
          <w:lang w:bidi="fa-IR"/>
        </w:rPr>
        <w:t xml:space="preserve"> گذشت، بهتر است گفته شود: ملکيت امری اعتباری است و متعلق آن همان گونه 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شيئی خارجی باشد،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امری اعتباری نيز باشد، و ذمه نيز هرچند دارای واقع خارجی نيست، اما در عالم اعتبار عقلايی دارای وجود اعتباری است، و اگر تعلق ملکيت به ذمه غير معقول باشد، دليل شرعی نيز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سبب تعلق ملکيت به آن شود، چون دليل عقلی قابل تخصيص و تقييد نيست. بنابر اين بايد گفت: دلالت دليل شرعی بر تعلق ملکيت به ذمه در برخی از موارد، مؤيد اين است که ذمه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مملوک واقع شود.</w:t>
      </w:r>
    </w:p>
    <w:p w14:paraId="75AB5AF3" w14:textId="0926F136" w:rsidR="00DF1049" w:rsidRDefault="00DF1049" w:rsidP="0055677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آنچه که در خصوص ضمان فرمودند نيز متوقف بر مبنای مشهور در ضمان عقدی است که قائل به نقل ذمه به واسطه ضمان عقدی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اما بنابر مبنای صحيح که ضمان عقدی را ضمّ ذمه به ذمه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داند، وجهی برای اين که ادعا شود نتيجه ضمان عقدی به مانند اين است </w:t>
      </w:r>
      <w:r w:rsidR="000D42C7">
        <w:rPr>
          <w:rFonts w:ascii="Traditional Arabic" w:hAnsi="Traditional Arabic" w:cs="Abz-2 (Badr)" w:hint="cs"/>
          <w:color w:val="000000"/>
          <w:sz w:val="28"/>
          <w:szCs w:val="28"/>
          <w:rtl/>
          <w:lang w:bidi="fa-IR"/>
        </w:rPr>
        <w:t xml:space="preserve">که </w:t>
      </w:r>
      <w:r>
        <w:rPr>
          <w:rFonts w:ascii="Traditional Arabic" w:hAnsi="Traditional Arabic" w:cs="Abz-2 (Badr)" w:hint="cs"/>
          <w:color w:val="000000"/>
          <w:sz w:val="28"/>
          <w:szCs w:val="28"/>
          <w:rtl/>
          <w:lang w:bidi="fa-IR"/>
        </w:rPr>
        <w:t>ذمه مضمون توسط ضامن قبض شده باشد، وجود ندارد.</w:t>
      </w:r>
    </w:p>
    <w:p w14:paraId="3BD483B6" w14:textId="77777777" w:rsidR="00C80BB4" w:rsidRDefault="00DF1049" w:rsidP="00C80BB4">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3 ـ آيا ابراء ذمه نيازمند قبول است؟</w:t>
      </w:r>
    </w:p>
    <w:p w14:paraId="5AB3C47C" w14:textId="1E519BD9" w:rsidR="00DF1049" w:rsidRDefault="00DF1049" w:rsidP="00C80BB4">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مشهور قائل به اين شده است که ابراء به مانند ايقاعات ديگر نيازمند قبول نيست.</w:t>
      </w:r>
      <w:r>
        <w:rPr>
          <w:rStyle w:val="FootnoteReference"/>
          <w:rFonts w:cs="Abz-2 (Badr)"/>
          <w:sz w:val="28"/>
          <w:szCs w:val="28"/>
          <w:rtl/>
          <w:lang w:bidi="fa-IR"/>
        </w:rPr>
        <w:footnoteReference w:id="1"/>
      </w:r>
    </w:p>
    <w:p w14:paraId="3D85A8A8" w14:textId="77777777" w:rsidR="00DF1049" w:rsidRPr="00E9135A" w:rsidRDefault="00DF1049" w:rsidP="00556776">
      <w:pPr>
        <w:pStyle w:val="NormalWeb"/>
        <w:widowControl w:val="0"/>
        <w:bidi/>
        <w:spacing w:before="0" w:beforeAutospacing="0" w:after="0" w:afterAutospacing="0" w:line="259" w:lineRule="auto"/>
        <w:ind w:firstLine="284"/>
        <w:jc w:val="both"/>
        <w:rPr>
          <w:sz w:val="36"/>
          <w:szCs w:val="36"/>
          <w:rtl/>
          <w:lang w:bidi="fa-IR"/>
        </w:rPr>
      </w:pPr>
      <w:r>
        <w:rPr>
          <w:rFonts w:ascii="Traditional Arabic" w:hAnsi="Traditional Arabic" w:cs="Abz-2 (Badr)" w:hint="cs"/>
          <w:color w:val="000000"/>
          <w:sz w:val="28"/>
          <w:szCs w:val="28"/>
          <w:rtl/>
          <w:lang w:bidi="fa-IR"/>
        </w:rPr>
        <w:lastRenderedPageBreak/>
        <w:t>اما شيخ در مبسوط قائل به اين شده است که ابراء نيازمند قبول است و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E9135A">
        <w:rPr>
          <w:rFonts w:ascii="Traditional Arabic" w:hAnsi="Traditional Arabic" w:cs="Abz-2 (Badr)"/>
          <w:color w:val="000000"/>
          <w:sz w:val="28"/>
          <w:szCs w:val="28"/>
          <w:rtl/>
          <w:lang w:bidi="fa-IR"/>
        </w:rPr>
        <w:t>إذا عفت بواحدة منها</w:t>
      </w:r>
      <w:r>
        <w:rPr>
          <w:rFonts w:ascii="Traditional Arabic" w:hAnsi="Traditional Arabic" w:cs="Abz-2 (Badr)" w:hint="cs"/>
          <w:color w:val="000000"/>
          <w:sz w:val="28"/>
          <w:szCs w:val="28"/>
          <w:rtl/>
          <w:lang w:bidi="fa-IR"/>
        </w:rPr>
        <w:t>،</w:t>
      </w:r>
      <w:r w:rsidRPr="00E9135A">
        <w:rPr>
          <w:rFonts w:ascii="Traditional Arabic" w:hAnsi="Traditional Arabic" w:cs="Abz-2 (Badr)"/>
          <w:color w:val="000000"/>
          <w:sz w:val="28"/>
          <w:szCs w:val="28"/>
          <w:rtl/>
          <w:lang w:bidi="fa-IR"/>
        </w:rPr>
        <w:t xml:space="preserve"> فهل يفتقر إلى قبوله أم لا؟ قيل فيه وجهان: الأولى أن نقول</w:t>
      </w:r>
      <w:r>
        <w:rPr>
          <w:rFonts w:ascii="Traditional Arabic" w:hAnsi="Traditional Arabic" w:cs="Abz-2 (Badr)" w:hint="cs"/>
          <w:color w:val="000000"/>
          <w:sz w:val="28"/>
          <w:szCs w:val="28"/>
          <w:rtl/>
          <w:lang w:bidi="fa-IR"/>
        </w:rPr>
        <w:t>:</w:t>
      </w:r>
      <w:r w:rsidRPr="00E9135A">
        <w:rPr>
          <w:rFonts w:ascii="Traditional Arabic" w:hAnsi="Traditional Arabic" w:cs="Abz-2 (Badr)"/>
          <w:color w:val="000000"/>
          <w:sz w:val="28"/>
          <w:szCs w:val="28"/>
          <w:rtl/>
          <w:lang w:bidi="fa-IR"/>
        </w:rPr>
        <w:t xml:space="preserve"> يفتقر إلى قبوله.</w:t>
      </w:r>
      <w:r>
        <w:rPr>
          <w:rFonts w:ascii="Traditional Arabic" w:hAnsi="Traditional Arabic" w:cs="Abz-2 (Badr)" w:hint="cs"/>
          <w:color w:val="000000"/>
          <w:sz w:val="28"/>
          <w:szCs w:val="28"/>
          <w:rtl/>
          <w:lang w:bidi="fa-IR"/>
        </w:rPr>
        <w:t>»</w:t>
      </w:r>
      <w:r>
        <w:rPr>
          <w:rStyle w:val="FootnoteReference"/>
          <w:rFonts w:cs="Abz-2 (Badr)"/>
          <w:sz w:val="28"/>
          <w:szCs w:val="28"/>
          <w:rtl/>
          <w:lang w:bidi="fa-IR"/>
        </w:rPr>
        <w:footnoteReference w:id="2"/>
      </w:r>
    </w:p>
    <w:p w14:paraId="4BA4062E" w14:textId="1731C1D1" w:rsidR="00DF1049" w:rsidRDefault="00DF1049" w:rsidP="0055677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اشکالی که اين مطلب دارد اين است که اگر ابراء، نيازمند قبول باشد، از ايقاعات خارج شده و جزء عقود خواهد بود. مگر اين که گفته شود: مدخليت قبول در ابراء به نحو جزء </w:t>
      </w:r>
      <w:r w:rsidR="00556776">
        <w:rPr>
          <w:rFonts w:ascii="Traditional Arabic" w:hAnsi="Traditional Arabic" w:cs="Abz-2 (Badr)" w:hint="cs"/>
          <w:color w:val="000000"/>
          <w:sz w:val="28"/>
          <w:szCs w:val="28"/>
          <w:rtl/>
          <w:lang w:bidi="fa-IR"/>
        </w:rPr>
        <w:t>مقتضی</w:t>
      </w:r>
      <w:r>
        <w:rPr>
          <w:rFonts w:ascii="Traditional Arabic" w:hAnsi="Traditional Arabic" w:cs="Abz-2 (Badr)" w:hint="cs"/>
          <w:color w:val="000000"/>
          <w:sz w:val="28"/>
          <w:szCs w:val="28"/>
          <w:rtl/>
          <w:lang w:bidi="fa-IR"/>
        </w:rPr>
        <w:t xml:space="preserve"> نيست، بلکه به نحو شرط مقارن يا متأخر است.</w:t>
      </w:r>
    </w:p>
    <w:p w14:paraId="6E8DE1AF" w14:textId="77777777" w:rsidR="00DF1049" w:rsidRDefault="00DF1049" w:rsidP="00556776">
      <w:pPr>
        <w:pStyle w:val="NormalWeb"/>
        <w:widowControl w:val="0"/>
        <w:bidi/>
        <w:spacing w:before="0" w:beforeAutospacing="0" w:after="0" w:afterAutospacing="0" w:line="259" w:lineRule="auto"/>
        <w:ind w:firstLine="284"/>
        <w:jc w:val="both"/>
        <w:rPr>
          <w:rFonts w:cs="Abz-2 (Badr)"/>
          <w:sz w:val="28"/>
          <w:szCs w:val="28"/>
          <w:rtl/>
          <w:lang w:bidi="fa-IR"/>
        </w:rPr>
      </w:pPr>
      <w:r>
        <w:rPr>
          <w:rFonts w:ascii="Traditional Arabic" w:hAnsi="Traditional Arabic" w:cs="Abz-2 (Badr)" w:hint="cs"/>
          <w:color w:val="000000"/>
          <w:sz w:val="28"/>
          <w:szCs w:val="28"/>
          <w:rtl/>
          <w:lang w:bidi="fa-IR"/>
        </w:rPr>
        <w:t>برخی نيز برای عدم نياز ابراء به قبول در ما نحن فيه، به مضمره سماعة تمسّک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اند که در آن آمده است: </w:t>
      </w:r>
      <w:r>
        <w:rPr>
          <w:rFonts w:cs="Abz-2 (Badr)" w:hint="cs"/>
          <w:sz w:val="28"/>
          <w:szCs w:val="28"/>
          <w:rtl/>
          <w:lang w:bidi="fa-IR"/>
        </w:rPr>
        <w:t>«</w:t>
      </w:r>
      <w:r w:rsidRPr="00572212">
        <w:rPr>
          <w:rFonts w:cs="Abz-2 (Badr)"/>
          <w:sz w:val="28"/>
          <w:szCs w:val="28"/>
          <w:rtl/>
          <w:lang w:bidi="fa-IR"/>
        </w:rPr>
        <w:t>سألته‌ عن‌ رجل‌ تزوّج‌ جارية‌ أو تمتّع‌ بها ثمّ‌ جعلته‌ من‌ صداقها في حلّ‌</w:t>
      </w:r>
      <w:r>
        <w:rPr>
          <w:rFonts w:cs="Abz-2 (Badr)" w:hint="cs"/>
          <w:sz w:val="28"/>
          <w:szCs w:val="28"/>
          <w:rtl/>
          <w:lang w:bidi="fa-IR"/>
        </w:rPr>
        <w:t>،</w:t>
      </w:r>
      <w:r w:rsidRPr="00572212">
        <w:rPr>
          <w:rFonts w:cs="Abz-2 (Badr)"/>
          <w:sz w:val="28"/>
          <w:szCs w:val="28"/>
          <w:rtl/>
          <w:lang w:bidi="fa-IR"/>
        </w:rPr>
        <w:t xml:space="preserve"> أيجوز له‌ أن‌ يدخل‌ بها قبل‌ أن‌ يعطيها شيئا</w:t>
      </w:r>
      <w:r>
        <w:rPr>
          <w:rFonts w:cs="Abz-2 (Badr)" w:hint="cs"/>
          <w:sz w:val="28"/>
          <w:szCs w:val="28"/>
          <w:rtl/>
          <w:lang w:bidi="fa-IR"/>
        </w:rPr>
        <w:t>ً؟</w:t>
      </w:r>
      <w:r w:rsidRPr="00572212">
        <w:rPr>
          <w:rFonts w:cs="Abz-2 (Badr)"/>
          <w:sz w:val="28"/>
          <w:szCs w:val="28"/>
          <w:rtl/>
          <w:lang w:bidi="fa-IR"/>
        </w:rPr>
        <w:t xml:space="preserve"> قال</w:t>
      </w:r>
      <w:r>
        <w:rPr>
          <w:rFonts w:cs="Abz-2 (Badr)" w:hint="cs"/>
          <w:sz w:val="28"/>
          <w:szCs w:val="28"/>
          <w:rtl/>
          <w:lang w:bidi="fa-IR"/>
        </w:rPr>
        <w:t>:</w:t>
      </w:r>
      <w:r w:rsidRPr="00572212">
        <w:rPr>
          <w:rFonts w:cs="Abz-2 (Badr)"/>
          <w:sz w:val="28"/>
          <w:szCs w:val="28"/>
          <w:rtl/>
          <w:lang w:bidi="fa-IR"/>
        </w:rPr>
        <w:t xml:space="preserve">‌ </w:t>
      </w:r>
      <w:r>
        <w:rPr>
          <w:rFonts w:cs="Abz-2 (Badr)" w:hint="cs"/>
          <w:sz w:val="28"/>
          <w:szCs w:val="28"/>
          <w:rtl/>
          <w:lang w:bidi="fa-IR"/>
        </w:rPr>
        <w:t>ن</w:t>
      </w:r>
      <w:r w:rsidRPr="00572212">
        <w:rPr>
          <w:rFonts w:cs="Abz-2 (Badr)"/>
          <w:sz w:val="28"/>
          <w:szCs w:val="28"/>
          <w:rtl/>
          <w:lang w:bidi="fa-IR"/>
        </w:rPr>
        <w:t>عم</w:t>
      </w:r>
      <w:r>
        <w:rPr>
          <w:rFonts w:cs="Abz-2 (Badr)" w:hint="cs"/>
          <w:sz w:val="28"/>
          <w:szCs w:val="28"/>
          <w:rtl/>
          <w:lang w:bidi="fa-IR"/>
        </w:rPr>
        <w:t xml:space="preserve">، </w:t>
      </w:r>
      <w:r w:rsidRPr="00572212">
        <w:rPr>
          <w:rFonts w:cs="Abz-2 (Badr)"/>
          <w:sz w:val="28"/>
          <w:szCs w:val="28"/>
          <w:rtl/>
          <w:lang w:bidi="fa-IR"/>
        </w:rPr>
        <w:t>إذا جعلته‌ في حلّ‌ فقد قبضته‌ منه</w:t>
      </w:r>
      <w:r>
        <w:rPr>
          <w:rFonts w:cs="Abz-2 (Badr)" w:hint="cs"/>
          <w:sz w:val="28"/>
          <w:szCs w:val="28"/>
          <w:rtl/>
          <w:lang w:bidi="fa-IR"/>
        </w:rPr>
        <w:t>...»</w:t>
      </w:r>
      <w:r w:rsidRPr="007727D1">
        <w:rPr>
          <w:rFonts w:cs="Abz-2 (Badr)"/>
          <w:sz w:val="28"/>
          <w:szCs w:val="28"/>
          <w:vertAlign w:val="superscript"/>
          <w:rtl/>
          <w:lang w:bidi="fa-IR"/>
        </w:rPr>
        <w:footnoteReference w:id="3"/>
      </w:r>
      <w:r>
        <w:rPr>
          <w:rFonts w:cs="Abz-2 (Badr)" w:hint="cs"/>
          <w:sz w:val="28"/>
          <w:szCs w:val="28"/>
          <w:rtl/>
          <w:lang w:bidi="fa-IR"/>
        </w:rPr>
        <w:t xml:space="preserve"> زيرا اطلاق ذيل آن که در آن آمده است که ابراء به منزله قبض است، شامل موردی که قبولی نيز وجود نداشته، می</w:t>
      </w:r>
      <w:r>
        <w:rPr>
          <w:rFonts w:cs="Abz-2 (Badr)"/>
          <w:sz w:val="28"/>
          <w:szCs w:val="28"/>
          <w:rtl/>
          <w:lang w:bidi="fa-IR"/>
        </w:rPr>
        <w:softHyphen/>
      </w:r>
      <w:r>
        <w:rPr>
          <w:rFonts w:cs="Abz-2 (Badr)" w:hint="cs"/>
          <w:sz w:val="28"/>
          <w:szCs w:val="28"/>
          <w:rtl/>
          <w:lang w:bidi="fa-IR"/>
        </w:rPr>
        <w:t>شود.</w:t>
      </w:r>
    </w:p>
    <w:p w14:paraId="5417E1A5" w14:textId="77777777" w:rsidR="00DF1049" w:rsidRDefault="00DF1049" w:rsidP="00556776">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مقتضای تحقيق اين است که ابراء هرچند نيازمند قبول نيست ولی رد آن به توسط کسی که ذمه او مشغول است،  سبب می</w:t>
      </w:r>
      <w:r>
        <w:rPr>
          <w:rFonts w:cs="Abz-2 (Badr)"/>
          <w:sz w:val="28"/>
          <w:szCs w:val="28"/>
          <w:rtl/>
          <w:lang w:bidi="fa-IR"/>
        </w:rPr>
        <w:softHyphen/>
      </w:r>
      <w:r>
        <w:rPr>
          <w:rFonts w:cs="Abz-2 (Badr)" w:hint="cs"/>
          <w:sz w:val="28"/>
          <w:szCs w:val="28"/>
          <w:rtl/>
          <w:lang w:bidi="fa-IR"/>
        </w:rPr>
        <w:t>شود که ابراء حاصل نشود و نظير اين مطلب در مواردی از فقه ذکر شده است.</w:t>
      </w:r>
    </w:p>
    <w:p w14:paraId="33386683" w14:textId="18452A5C" w:rsidR="00DF1049" w:rsidRPr="00E12891" w:rsidRDefault="00DF1049" w:rsidP="00556776">
      <w:pPr>
        <w:pStyle w:val="NormalWeb"/>
        <w:widowControl w:val="0"/>
        <w:bidi/>
        <w:spacing w:before="0" w:beforeAutospacing="0" w:after="0" w:afterAutospacing="0" w:line="259" w:lineRule="auto"/>
        <w:ind w:firstLine="284"/>
        <w:jc w:val="both"/>
        <w:rPr>
          <w:sz w:val="36"/>
          <w:szCs w:val="36"/>
          <w:rtl/>
          <w:lang w:bidi="fa-IR"/>
        </w:rPr>
      </w:pPr>
      <w:r>
        <w:rPr>
          <w:rFonts w:cs="Abz-2 (Badr)" w:hint="cs"/>
          <w:sz w:val="28"/>
          <w:szCs w:val="28"/>
          <w:rtl/>
          <w:lang w:bidi="fa-IR"/>
        </w:rPr>
        <w:t>صاحب عروه در بحث وصيت فرموده است: «</w:t>
      </w:r>
      <w:r w:rsidRPr="00E12891">
        <w:rPr>
          <w:rFonts w:cs="Abz-2 (Badr)"/>
          <w:sz w:val="28"/>
          <w:szCs w:val="28"/>
          <w:rtl/>
          <w:lang w:bidi="fa-IR"/>
        </w:rPr>
        <w:t>الوصيّة العهديّة لا تحتاج إلى القبول وكذا الوصيّة بالفكّ‌ كالعتق</w:t>
      </w:r>
      <w:r>
        <w:rPr>
          <w:rFonts w:cs="Abz-2 (Badr)" w:hint="cs"/>
          <w:sz w:val="28"/>
          <w:szCs w:val="28"/>
          <w:rtl/>
          <w:lang w:bidi="fa-IR"/>
        </w:rPr>
        <w:t>.</w:t>
      </w:r>
      <w:r w:rsidRPr="00E12891">
        <w:rPr>
          <w:rFonts w:cs="Abz-2 (Badr)"/>
          <w:sz w:val="28"/>
          <w:szCs w:val="28"/>
          <w:rtl/>
          <w:lang w:bidi="fa-IR"/>
        </w:rPr>
        <w:t xml:space="preserve"> وأمّا التمليكيّة فالمشهور على أنّه يعتبر فيها القبول جزءً </w:t>
      </w:r>
      <w:r>
        <w:rPr>
          <w:rFonts w:cs="Abz-2 (Badr)" w:hint="cs"/>
          <w:sz w:val="28"/>
          <w:szCs w:val="28"/>
          <w:rtl/>
          <w:lang w:bidi="fa-IR"/>
        </w:rPr>
        <w:t xml:space="preserve">ـ </w:t>
      </w:r>
      <w:r w:rsidRPr="00E12891">
        <w:rPr>
          <w:rFonts w:cs="Abz-2 (Badr)"/>
          <w:sz w:val="28"/>
          <w:szCs w:val="28"/>
          <w:rtl/>
          <w:lang w:bidi="fa-IR"/>
        </w:rPr>
        <w:t>وعليه تكون من العقود</w:t>
      </w:r>
      <w:r>
        <w:rPr>
          <w:rFonts w:cs="Abz-2 (Badr)" w:hint="cs"/>
          <w:sz w:val="28"/>
          <w:szCs w:val="28"/>
          <w:rtl/>
          <w:lang w:bidi="fa-IR"/>
        </w:rPr>
        <w:t xml:space="preserve"> ـ</w:t>
      </w:r>
      <w:r w:rsidRPr="00E12891">
        <w:rPr>
          <w:rFonts w:cs="Abz-2 (Badr)"/>
          <w:sz w:val="28"/>
          <w:szCs w:val="28"/>
          <w:rtl/>
          <w:lang w:bidi="fa-IR"/>
        </w:rPr>
        <w:t xml:space="preserve"> أو شرطاً على وجه</w:t>
      </w:r>
      <w:r>
        <w:rPr>
          <w:rFonts w:cs="Abz-2 (Badr)" w:hint="cs"/>
          <w:sz w:val="28"/>
          <w:szCs w:val="28"/>
          <w:rtl/>
          <w:lang w:bidi="fa-IR"/>
        </w:rPr>
        <w:t xml:space="preserve"> </w:t>
      </w:r>
      <w:r w:rsidRPr="00E12891">
        <w:rPr>
          <w:rFonts w:cs="Abz-2 (Badr)"/>
          <w:sz w:val="28"/>
          <w:szCs w:val="28"/>
          <w:rtl/>
          <w:lang w:bidi="fa-IR"/>
        </w:rPr>
        <w:t>الكشف أو النقل</w:t>
      </w:r>
      <w:r>
        <w:rPr>
          <w:rFonts w:cs="Abz-2 (Badr)" w:hint="cs"/>
          <w:sz w:val="28"/>
          <w:szCs w:val="28"/>
          <w:rtl/>
          <w:lang w:bidi="fa-IR"/>
        </w:rPr>
        <w:t>،</w:t>
      </w:r>
      <w:r w:rsidRPr="00E12891">
        <w:rPr>
          <w:rFonts w:cs="Abz-2 (Badr)"/>
          <w:sz w:val="28"/>
          <w:szCs w:val="28"/>
          <w:rtl/>
          <w:lang w:bidi="fa-IR"/>
        </w:rPr>
        <w:t xml:space="preserve"> فيكون من الإيقاعات. ويحتمل قويّاً عدم اعتبار</w:t>
      </w:r>
      <w:r>
        <w:rPr>
          <w:rFonts w:cs="Abz-2 (Badr)" w:hint="cs"/>
          <w:sz w:val="28"/>
          <w:szCs w:val="28"/>
          <w:rtl/>
          <w:lang w:bidi="fa-IR"/>
        </w:rPr>
        <w:t xml:space="preserve"> </w:t>
      </w:r>
      <w:r w:rsidRPr="00E12891">
        <w:rPr>
          <w:rFonts w:cs="Abz-2 (Badr)"/>
          <w:sz w:val="28"/>
          <w:szCs w:val="28"/>
          <w:rtl/>
          <w:lang w:bidi="fa-IR"/>
        </w:rPr>
        <w:t>القبول فيها</w:t>
      </w:r>
      <w:r>
        <w:rPr>
          <w:rFonts w:cs="Abz-2 (Badr)" w:hint="cs"/>
          <w:sz w:val="28"/>
          <w:szCs w:val="28"/>
          <w:rtl/>
          <w:lang w:bidi="fa-IR"/>
        </w:rPr>
        <w:t>،</w:t>
      </w:r>
      <w:r w:rsidRPr="00E12891">
        <w:rPr>
          <w:rFonts w:cs="Abz-2 (Badr)"/>
          <w:sz w:val="28"/>
          <w:szCs w:val="28"/>
          <w:rtl/>
          <w:lang w:bidi="fa-IR"/>
        </w:rPr>
        <w:t xml:space="preserve"> بل يكون الردّ مانعاً، وعليه تكون من الإيقاع الصريح</w:t>
      </w:r>
      <w:r>
        <w:rPr>
          <w:rFonts w:cs="Abz-2 (Badr)" w:hint="cs"/>
          <w:sz w:val="28"/>
          <w:szCs w:val="28"/>
          <w:rtl/>
          <w:lang w:bidi="fa-IR"/>
        </w:rPr>
        <w:t>...»</w:t>
      </w:r>
      <w:r w:rsidRPr="007727D1">
        <w:rPr>
          <w:rFonts w:cs="Abz-2 (Badr)"/>
          <w:sz w:val="28"/>
          <w:szCs w:val="28"/>
          <w:vertAlign w:val="superscript"/>
          <w:rtl/>
          <w:lang w:bidi="fa-IR"/>
        </w:rPr>
        <w:footnoteReference w:id="4"/>
      </w:r>
    </w:p>
    <w:p w14:paraId="15C174D4" w14:textId="77777777" w:rsidR="00DF1049" w:rsidRPr="00CD56B4" w:rsidRDefault="00DF1049" w:rsidP="00556776">
      <w:pPr>
        <w:pStyle w:val="NormalWeb"/>
        <w:widowControl w:val="0"/>
        <w:bidi/>
        <w:spacing w:before="0" w:beforeAutospacing="0" w:after="0" w:afterAutospacing="0" w:line="259" w:lineRule="auto"/>
        <w:ind w:firstLine="284"/>
        <w:jc w:val="both"/>
        <w:rPr>
          <w:sz w:val="36"/>
          <w:szCs w:val="36"/>
          <w:rtl/>
          <w:lang w:bidi="fa-IR"/>
        </w:rPr>
      </w:pPr>
      <w:r>
        <w:rPr>
          <w:rFonts w:ascii="Traditional Arabic" w:hAnsi="Traditional Arabic" w:cs="Abz-2 (Badr)" w:hint="cs"/>
          <w:color w:val="000000"/>
          <w:sz w:val="28"/>
          <w:szCs w:val="28"/>
          <w:rtl/>
          <w:lang w:bidi="fa-IR"/>
        </w:rPr>
        <w:lastRenderedPageBreak/>
        <w:t>البته آيت الله خويی در حاشيه خود بر عروه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w:t>
      </w:r>
      <w:r w:rsidRPr="00CD56B4">
        <w:rPr>
          <w:rFonts w:ascii="Traditional Arabic" w:hAnsi="Traditional Arabic" w:cs="Abz-2 (Badr)"/>
          <w:color w:val="000000"/>
          <w:sz w:val="28"/>
          <w:szCs w:val="28"/>
          <w:rtl/>
          <w:lang w:bidi="fa-IR"/>
        </w:rPr>
        <w:t>هذا الاحتمال هو الصحيح، بل لا دليل على كون الرد</w:t>
      </w:r>
      <w:r>
        <w:rPr>
          <w:rFonts w:ascii="Traditional Arabic" w:hAnsi="Traditional Arabic" w:cs="Abz-2 (Badr)" w:hint="cs"/>
          <w:color w:val="000000"/>
          <w:sz w:val="28"/>
          <w:szCs w:val="28"/>
          <w:rtl/>
          <w:lang w:bidi="fa-IR"/>
        </w:rPr>
        <w:t>ّ</w:t>
      </w:r>
      <w:r w:rsidRPr="00CD56B4">
        <w:rPr>
          <w:rFonts w:ascii="Traditional Arabic" w:hAnsi="Traditional Arabic" w:cs="Abz-2 (Badr)"/>
          <w:color w:val="000000"/>
          <w:sz w:val="28"/>
          <w:szCs w:val="28"/>
          <w:rtl/>
          <w:lang w:bidi="fa-IR"/>
        </w:rPr>
        <w:t xml:space="preserve"> مانعاً سوى ظهور التسالم عليه</w:t>
      </w:r>
      <w:r>
        <w:rPr>
          <w:rFonts w:ascii="Traditional Arabic" w:hAnsi="Traditional Arabic" w:cs="Abz-2 (Badr)" w:hint="cs"/>
          <w:color w:val="000000"/>
          <w:sz w:val="28"/>
          <w:szCs w:val="28"/>
          <w:rtl/>
          <w:lang w:bidi="fa-IR"/>
        </w:rPr>
        <w:t>.</w:t>
      </w:r>
      <w:r w:rsidRPr="00CD56B4">
        <w:rPr>
          <w:rFonts w:ascii="Traditional Arabic" w:hAnsi="Traditional Arabic" w:cs="Abz-2 (Badr)"/>
          <w:color w:val="000000"/>
          <w:sz w:val="28"/>
          <w:szCs w:val="28"/>
          <w:rtl/>
          <w:lang w:bidi="fa-IR"/>
        </w:rPr>
        <w:t xml:space="preserve"> فإن تمّ‌ إجماع وإلا فلا وجه له أيضا</w:t>
      </w:r>
      <w:r>
        <w:rPr>
          <w:rFonts w:ascii="Traditional Arabic" w:hAnsi="Traditional Arabic" w:cs="Abz-2 (Badr)" w:hint="cs"/>
          <w:color w:val="000000"/>
          <w:sz w:val="28"/>
          <w:szCs w:val="28"/>
          <w:rtl/>
          <w:lang w:bidi="fa-IR"/>
        </w:rPr>
        <w:t>ً.»</w:t>
      </w:r>
      <w:r w:rsidRPr="007727D1">
        <w:rPr>
          <w:rFonts w:cs="Abz-2 (Badr)"/>
          <w:sz w:val="28"/>
          <w:szCs w:val="28"/>
          <w:vertAlign w:val="superscript"/>
          <w:rtl/>
          <w:lang w:bidi="fa-IR"/>
        </w:rPr>
        <w:footnoteReference w:id="5"/>
      </w:r>
    </w:p>
    <w:p w14:paraId="39AB9633" w14:textId="14C7AC27" w:rsidR="00DF1049" w:rsidRPr="00974332" w:rsidRDefault="00DF1049" w:rsidP="00556776">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sidRPr="00974332">
        <w:rPr>
          <w:rFonts w:ascii="Traditional Arabic" w:hAnsi="Traditional Arabic" w:cs="Abz-2 (Badr)" w:hint="cs"/>
          <w:color w:val="000000"/>
          <w:spacing w:val="-2"/>
          <w:sz w:val="28"/>
          <w:szCs w:val="28"/>
          <w:rtl/>
          <w:lang w:bidi="fa-IR"/>
        </w:rPr>
        <w:t xml:space="preserve">اما حق اين است که عدم کارکرد ايقاع با وجود منع طرف مقابل از آن به اين خاطر است که حصول اثر ايقاع برای کسی بدون اين که وی در آن مدخليتی داشته باشد، مخالف با قاعده </w:t>
      </w:r>
      <w:r w:rsidR="00556776" w:rsidRPr="00974332">
        <w:rPr>
          <w:rFonts w:ascii="Traditional Arabic" w:hAnsi="Traditional Arabic" w:cs="Abz-2 (Badr)" w:hint="cs"/>
          <w:color w:val="000000"/>
          <w:spacing w:val="-2"/>
          <w:sz w:val="28"/>
          <w:szCs w:val="28"/>
          <w:rtl/>
          <w:lang w:bidi="fa-IR"/>
        </w:rPr>
        <w:t xml:space="preserve">عدم سلطه </w:t>
      </w:r>
      <w:r w:rsidRPr="00974332">
        <w:rPr>
          <w:rFonts w:ascii="Traditional Arabic" w:hAnsi="Traditional Arabic" w:cs="Abz-2 (Badr)" w:hint="cs"/>
          <w:color w:val="000000"/>
          <w:spacing w:val="-2"/>
          <w:sz w:val="28"/>
          <w:szCs w:val="28"/>
          <w:rtl/>
          <w:lang w:bidi="fa-IR"/>
        </w:rPr>
        <w:t>است و قدر متيقّن از آن در جايی است که مخالفتی با آن صورت نپذيرد و چنانچه مخالفت از جانب او وجود داشته باشد، نمی</w:t>
      </w:r>
      <w:r w:rsidRPr="00974332">
        <w:rPr>
          <w:rFonts w:ascii="Traditional Arabic" w:hAnsi="Traditional Arabic" w:cs="Abz-2 (Badr)"/>
          <w:color w:val="000000"/>
          <w:spacing w:val="-2"/>
          <w:sz w:val="28"/>
          <w:szCs w:val="28"/>
          <w:rtl/>
          <w:lang w:bidi="fa-IR"/>
        </w:rPr>
        <w:softHyphen/>
      </w:r>
      <w:r w:rsidRPr="00974332">
        <w:rPr>
          <w:rFonts w:ascii="Traditional Arabic" w:hAnsi="Traditional Arabic" w:cs="Abz-2 (Badr)" w:hint="cs"/>
          <w:color w:val="000000"/>
          <w:spacing w:val="-2"/>
          <w:sz w:val="28"/>
          <w:szCs w:val="28"/>
          <w:rtl/>
          <w:lang w:bidi="fa-IR"/>
        </w:rPr>
        <w:t>توان ادعا نمود که اثر قهراً بر وی مترتب می</w:t>
      </w:r>
      <w:r w:rsidRPr="00974332">
        <w:rPr>
          <w:rFonts w:ascii="Traditional Arabic" w:hAnsi="Traditional Arabic" w:cs="Abz-2 (Badr)"/>
          <w:color w:val="000000"/>
          <w:spacing w:val="-2"/>
          <w:sz w:val="28"/>
          <w:szCs w:val="28"/>
          <w:rtl/>
          <w:lang w:bidi="fa-IR"/>
        </w:rPr>
        <w:softHyphen/>
      </w:r>
      <w:r w:rsidRPr="00974332">
        <w:rPr>
          <w:rFonts w:ascii="Traditional Arabic" w:hAnsi="Traditional Arabic" w:cs="Abz-2 (Badr)" w:hint="cs"/>
          <w:color w:val="000000"/>
          <w:spacing w:val="-2"/>
          <w:sz w:val="28"/>
          <w:szCs w:val="28"/>
          <w:rtl/>
          <w:lang w:bidi="fa-IR"/>
        </w:rPr>
        <w:t>شود، زيرا اطلاقی در ادله جميع ايقاعات از اين جهت وجود ندارد تا به آن تمسّک شده و ايقاع را تصحيح نمود.</w:t>
      </w:r>
    </w:p>
    <w:p w14:paraId="06ADEA50" w14:textId="77777777" w:rsidR="00DF1049" w:rsidRDefault="00DF1049" w:rsidP="0055677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گفته نشود: ملکيت قهری در شرع متصور است و در مواردی مثل ارث حاصل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ولو وارث با آن مخالفت کند.</w:t>
      </w:r>
    </w:p>
    <w:p w14:paraId="5902B2FD" w14:textId="77777777" w:rsidR="00DF1049" w:rsidRDefault="00DF1049" w:rsidP="0055677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زيرا پاسخ اين است که در اين موارد حصول ملکيت قهری مستند به وجود دليل است، در حالی که در ابراء همان گونه که گفتيم دليلی برای آن وجود ندارد.</w:t>
      </w:r>
    </w:p>
    <w:p w14:paraId="57996907" w14:textId="1D8BD3B3" w:rsidR="00DF1049" w:rsidRDefault="00DF1049" w:rsidP="0055677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مرحوم والد نيز در کتاب زکات در خصوص اين مدعای صاحب عروه که اگر قصد گيرنده زکات، مجرد تملّک نباشد و قصدی غير از اخذ زکات ـ مثل قبول هبه ـ داشته باشد، زکات واقع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061735">
        <w:rPr>
          <w:rFonts w:ascii="Traditional Arabic" w:hAnsi="Traditional Arabic" w:cs="Abz-2 (Badr)"/>
          <w:color w:val="000000"/>
          <w:sz w:val="28"/>
          <w:szCs w:val="28"/>
          <w:rtl/>
          <w:lang w:bidi="fa-IR"/>
        </w:rPr>
        <w:t>بل وإن قصد، فالعبرة بقصد الدافع لا القابض</w:t>
      </w:r>
      <w:r>
        <w:rPr>
          <w:rFonts w:ascii="Traditional Arabic" w:hAnsi="Traditional Arabic" w:cs="Abz-2 (Badr)" w:hint="cs"/>
          <w:color w:val="000000"/>
          <w:sz w:val="28"/>
          <w:szCs w:val="28"/>
          <w:rtl/>
          <w:lang w:bidi="fa-IR"/>
        </w:rPr>
        <w:t>،</w:t>
      </w:r>
      <w:r w:rsidRPr="00061735">
        <w:rPr>
          <w:rFonts w:ascii="Traditional Arabic" w:hAnsi="Traditional Arabic" w:cs="Abz-2 (Badr)"/>
          <w:color w:val="000000"/>
          <w:sz w:val="28"/>
          <w:szCs w:val="28"/>
          <w:rtl/>
          <w:lang w:bidi="fa-IR"/>
        </w:rPr>
        <w:t xml:space="preserve"> إلا إذا اطمأنّ بعدم رضاه بأخذ الزكاة واقعا</w:t>
      </w:r>
      <w:r w:rsidR="00556776">
        <w:rPr>
          <w:rFonts w:ascii="Traditional Arabic" w:hAnsi="Traditional Arabic" w:cs="Abz-2 (Badr)" w:hint="cs"/>
          <w:color w:val="000000"/>
          <w:sz w:val="28"/>
          <w:szCs w:val="28"/>
          <w:rtl/>
          <w:lang w:bidi="fa-IR"/>
        </w:rPr>
        <w:t>ً</w:t>
      </w:r>
      <w:r w:rsidRPr="00061735">
        <w:rPr>
          <w:rFonts w:ascii="Traditional Arabic" w:hAnsi="Traditional Arabic" w:cs="Abz-2 (Badr)"/>
          <w:color w:val="000000"/>
          <w:sz w:val="28"/>
          <w:szCs w:val="28"/>
          <w:rtl/>
          <w:lang w:bidi="fa-IR"/>
        </w:rPr>
        <w:t xml:space="preserve"> لا استحياء</w:t>
      </w:r>
      <w:r>
        <w:rPr>
          <w:rFonts w:ascii="Traditional Arabic" w:hAnsi="Traditional Arabic" w:cs="Abz-2 (Badr)" w:hint="cs"/>
          <w:color w:val="000000"/>
          <w:sz w:val="28"/>
          <w:szCs w:val="28"/>
          <w:rtl/>
          <w:lang w:bidi="fa-IR"/>
        </w:rPr>
        <w:t>ً.»</w:t>
      </w:r>
      <w:r w:rsidRPr="007727D1">
        <w:rPr>
          <w:rFonts w:cs="Abz-2 (Badr)"/>
          <w:sz w:val="28"/>
          <w:szCs w:val="28"/>
          <w:vertAlign w:val="superscript"/>
          <w:rtl/>
          <w:lang w:bidi="fa-IR"/>
        </w:rPr>
        <w:footnoteReference w:id="6"/>
      </w:r>
      <w:r>
        <w:rPr>
          <w:rFonts w:ascii="Traditional Arabic" w:hAnsi="Traditional Arabic" w:cs="Abz-2 (Badr)" w:hint="cs"/>
          <w:color w:val="000000"/>
          <w:sz w:val="28"/>
          <w:szCs w:val="28"/>
          <w:rtl/>
          <w:lang w:bidi="fa-IR"/>
        </w:rPr>
        <w:t xml:space="preserve"> و اين نيز مؤيد همان مطلبی است که گفتيم مبنی بر اين که حصول اثری ـ مثل ملکيت ـ به نحو قهری برای يک فرد، نيازمند دليل است و بدون دليل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به آن ملتزم شد.</w:t>
      </w:r>
    </w:p>
    <w:p w14:paraId="5CEFA6C9" w14:textId="341D0C3A" w:rsidR="000419DB" w:rsidRDefault="00DF1049" w:rsidP="0055677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بله، در برخی از موارد ايقاعات،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از دليل اين گونه برداشت کرد که اثرگذاری ايقاع فقط منوط بر اراده کسی است که ايقاع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و مخالفت طرف مقابل هيچ تأثيری در آن ندارد؛ مثلاً ادله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که بيانگر اين هستند که اختيار طلاق در دست زوج است، دلالت بر اين دارند که مخالفت زوجه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مانع طلاق باشد</w:t>
      </w:r>
      <w:r w:rsidR="00E12DC3">
        <w:rPr>
          <w:rFonts w:ascii="Traditional Arabic" w:hAnsi="Traditional Arabic" w:cs="Abz-2 (Badr)" w:hint="cs"/>
          <w:color w:val="000000"/>
          <w:sz w:val="28"/>
          <w:szCs w:val="28"/>
          <w:rtl/>
          <w:lang w:bidi="fa-IR"/>
        </w:rPr>
        <w:t xml:space="preserve"> و سلطه زوج بر آن کامل است</w:t>
      </w:r>
      <w:r>
        <w:rPr>
          <w:rFonts w:ascii="Traditional Arabic" w:hAnsi="Traditional Arabic" w:cs="Abz-2 (Badr)" w:hint="cs"/>
          <w:color w:val="000000"/>
          <w:sz w:val="28"/>
          <w:szCs w:val="28"/>
          <w:rtl/>
          <w:lang w:bidi="fa-IR"/>
        </w:rPr>
        <w:t>. همان گونه که مخالفت عبد يا امه با عتق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مانعی برای حصول آن باشد، چون عبد و امه در برابر مالک خود دارای اختياری نيستند.</w:t>
      </w:r>
    </w:p>
    <w:p w14:paraId="4384D13D" w14:textId="016BFBB2" w:rsidR="00556776" w:rsidRDefault="00556776" w:rsidP="0055677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ممکن است گفته شود: اگر ملکيت قهری خلاف قاعده عدم سلطه باشد، بايد قائل به شرطيت رضايت برای آن شويم نه به مانعيت عدم رضايت.</w:t>
      </w:r>
    </w:p>
    <w:p w14:paraId="69C30040" w14:textId="1CED08A4" w:rsidR="00556776" w:rsidRDefault="00556776" w:rsidP="00556776">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از اطلاق ادله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مثل مضمره سماعه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توان استفاده کرد که ابراء بدون رضايت هم </w:t>
      </w:r>
      <w:r w:rsidR="00C80BB4">
        <w:rPr>
          <w:rFonts w:ascii="Traditional Arabic" w:hAnsi="Traditional Arabic" w:cs="Abz-2 (Badr)" w:hint="cs"/>
          <w:color w:val="000000"/>
          <w:sz w:val="28"/>
          <w:szCs w:val="28"/>
          <w:rtl/>
          <w:lang w:bidi="fa-IR"/>
        </w:rPr>
        <w:t>دارای کارکرد</w:t>
      </w:r>
      <w:r>
        <w:rPr>
          <w:rFonts w:ascii="Traditional Arabic" w:hAnsi="Traditional Arabic" w:cs="Abz-2 (Badr)" w:hint="cs"/>
          <w:color w:val="000000"/>
          <w:sz w:val="28"/>
          <w:szCs w:val="28"/>
          <w:rtl/>
          <w:lang w:bidi="fa-IR"/>
        </w:rPr>
        <w:t xml:space="preserve"> است، اما اخذ به اطلاق آنها در جايی که ابراز عدم رضايت شده باشد، ممکن نيست، چون معلوم نيست که از اين جهت در مقام بيان باشند. فلذا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که ردّ مانع از سقوط ذمه است هرچند سقوط ذمه مشروط به قبول نيست.</w:t>
      </w:r>
    </w:p>
    <w:p w14:paraId="6BE9B935" w14:textId="77777777" w:rsidR="000419DB" w:rsidRPr="0000402C" w:rsidRDefault="000419DB" w:rsidP="000419DB">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p>
    <w:sectPr w:rsidR="000419DB" w:rsidRPr="0000402C" w:rsidSect="00FB6D9A">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64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EF249" w14:textId="77777777" w:rsidR="005E7FAD" w:rsidRDefault="005E7FAD" w:rsidP="00F71127">
      <w:pPr>
        <w:spacing w:after="0" w:line="240" w:lineRule="auto"/>
      </w:pPr>
      <w:r>
        <w:separator/>
      </w:r>
    </w:p>
  </w:endnote>
  <w:endnote w:type="continuationSeparator" w:id="0">
    <w:p w14:paraId="764E5709" w14:textId="77777777" w:rsidR="005E7FAD" w:rsidRDefault="005E7FA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FE668" w14:textId="77777777" w:rsidR="00FB6D9A" w:rsidRDefault="00FB6D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9AF01" w14:textId="77777777" w:rsidR="00FB6D9A" w:rsidRDefault="00FB6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310B7" w14:textId="77777777" w:rsidR="005E7FAD" w:rsidRDefault="005E7FAD" w:rsidP="00EE25C0">
      <w:pPr>
        <w:bidi/>
        <w:spacing w:after="0" w:line="240" w:lineRule="auto"/>
      </w:pPr>
      <w:r>
        <w:separator/>
      </w:r>
    </w:p>
  </w:footnote>
  <w:footnote w:type="continuationSeparator" w:id="0">
    <w:p w14:paraId="0A679F28" w14:textId="77777777" w:rsidR="005E7FAD" w:rsidRDefault="005E7FAD" w:rsidP="00F71127">
      <w:pPr>
        <w:bidi/>
        <w:spacing w:after="0" w:line="240" w:lineRule="auto"/>
      </w:pPr>
      <w:r>
        <w:continuationSeparator/>
      </w:r>
    </w:p>
  </w:footnote>
  <w:footnote w:id="1">
    <w:p w14:paraId="0F62A394" w14:textId="1E046134" w:rsidR="00DF1049" w:rsidRPr="00474923" w:rsidRDefault="00DF1049" w:rsidP="00DF1049">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sidR="00556776">
        <w:rPr>
          <w:rFonts w:cs="Abz-2 (Badr)" w:hint="cs"/>
          <w:rtl/>
        </w:rPr>
        <w:t>جواهر،ج31،ص110</w:t>
      </w:r>
      <w:r w:rsidRPr="00474923">
        <w:rPr>
          <w:rFonts w:cs="Abz-2 (Badr)" w:hint="cs"/>
          <w:rtl/>
          <w:lang w:bidi="fa-IR"/>
        </w:rPr>
        <w:t>.</w:t>
      </w:r>
    </w:p>
  </w:footnote>
  <w:footnote w:id="2">
    <w:p w14:paraId="562A2833" w14:textId="77777777" w:rsidR="00DF1049" w:rsidRPr="00474923" w:rsidRDefault="00DF1049" w:rsidP="00DF1049">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مبسوط،ج4،ص306</w:t>
      </w:r>
      <w:r w:rsidRPr="00474923">
        <w:rPr>
          <w:rFonts w:cs="Abz-2 (Badr)" w:hint="cs"/>
          <w:rtl/>
          <w:lang w:bidi="fa-IR"/>
        </w:rPr>
        <w:t>.</w:t>
      </w:r>
    </w:p>
  </w:footnote>
  <w:footnote w:id="3">
    <w:p w14:paraId="2A5518A7" w14:textId="77777777" w:rsidR="00DF1049" w:rsidRPr="00474923" w:rsidRDefault="00DF1049" w:rsidP="00DF1049">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ـ تهذيب،ج7،ص374،ح1513 ـ وسائل،ج21،ص301،ح27131.</w:t>
      </w:r>
    </w:p>
  </w:footnote>
  <w:footnote w:id="4">
    <w:p w14:paraId="1D9F7644" w14:textId="77777777" w:rsidR="00DF1049" w:rsidRPr="00474923" w:rsidRDefault="00DF1049" w:rsidP="00DF1049">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Pr>
          <w:rFonts w:cs="Abz-2 (Badr)" w:hint="cs"/>
          <w:rtl/>
        </w:rPr>
        <w:t xml:space="preserve">عروه،ج5،ص652 </w:t>
      </w:r>
      <w:r>
        <w:rPr>
          <w:rFonts w:cs="Abz-2 (Badr)"/>
          <w:rtl/>
        </w:rPr>
        <w:t>–</w:t>
      </w:r>
      <w:r>
        <w:rPr>
          <w:rFonts w:cs="Abz-2 (Badr)" w:hint="cs"/>
          <w:rtl/>
        </w:rPr>
        <w:t xml:space="preserve"> 654.</w:t>
      </w:r>
    </w:p>
  </w:footnote>
  <w:footnote w:id="5">
    <w:p w14:paraId="0988E001" w14:textId="280216B2" w:rsidR="00DF1049" w:rsidRPr="00474923" w:rsidRDefault="00DF1049" w:rsidP="00DF1049">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sidR="00C02C20">
        <w:rPr>
          <w:rFonts w:cs="Abz-2 (Badr)" w:hint="cs"/>
          <w:rtl/>
        </w:rPr>
        <w:t>همان،ص</w:t>
      </w:r>
      <w:r w:rsidR="0026081F">
        <w:rPr>
          <w:rFonts w:cs="Abz-2 (Badr)" w:hint="cs"/>
          <w:rtl/>
        </w:rPr>
        <w:t>654</w:t>
      </w:r>
      <w:r>
        <w:rPr>
          <w:rFonts w:cs="Abz-2 (Badr)" w:hint="cs"/>
          <w:rtl/>
        </w:rPr>
        <w:t>.</w:t>
      </w:r>
    </w:p>
  </w:footnote>
  <w:footnote w:id="6">
    <w:p w14:paraId="63063CE9" w14:textId="77777777" w:rsidR="00DF1049" w:rsidRPr="00474923" w:rsidRDefault="00DF1049" w:rsidP="00DF1049">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Pr>
          <w:rFonts w:cs="Abz-2 (Badr)" w:hint="cs"/>
          <w:rtl/>
        </w:rPr>
        <w:t>حاشيه عروه،ج2،ص116.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73115" w14:textId="77777777" w:rsidR="00FB6D9A" w:rsidRDefault="00FB6D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A9E8D" w14:textId="21E9603D" w:rsidR="00FB6D9A" w:rsidRDefault="00FB6D9A">
    <w:pPr>
      <w:pStyle w:val="Header"/>
    </w:pPr>
    <w:r>
      <w:rPr>
        <w:noProof/>
      </w:rPr>
      <mc:AlternateContent>
        <mc:Choice Requires="wps">
          <w:drawing>
            <wp:anchor distT="45720" distB="45720" distL="114300" distR="114300" simplePos="0" relativeHeight="251661312" behindDoc="0" locked="0" layoutInCell="1" allowOverlap="1" wp14:anchorId="111DBA90" wp14:editId="2BEE750E">
              <wp:simplePos x="0" y="0"/>
              <wp:positionH relativeFrom="margin">
                <wp:posOffset>2190115</wp:posOffset>
              </wp:positionH>
              <wp:positionV relativeFrom="paragraph">
                <wp:posOffset>533400</wp:posOffset>
              </wp:positionV>
              <wp:extent cx="4162425" cy="19812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2425" cy="1981200"/>
                      </a:xfrm>
                      <a:prstGeom prst="rect">
                        <a:avLst/>
                      </a:prstGeom>
                      <a:solidFill>
                        <a:srgbClr val="FFFFFF"/>
                      </a:solidFill>
                      <a:ln w="9525">
                        <a:noFill/>
                        <a:miter lim="800000"/>
                        <a:headEnd/>
                        <a:tailEnd/>
                      </a:ln>
                    </wps:spPr>
                    <wps:txbx>
                      <w:txbxContent>
                        <w:p w14:paraId="017EF0F8" w14:textId="77777777" w:rsidR="00FB6D9A" w:rsidRDefault="00FB6D9A" w:rsidP="00FB6D9A">
                          <w:pPr>
                            <w:bidi/>
                            <w:rPr>
                              <w:rFonts w:cs="B Mehr"/>
                            </w:rPr>
                          </w:pPr>
                          <w:r>
                            <w:rPr>
                              <w:rFonts w:cs="B Mehr" w:hint="cs"/>
                              <w:rtl/>
                            </w:rPr>
                            <w:t>تقریر درس خارج فقه،  استاد حاج سید علی موسوی اردبیلی</w:t>
                          </w:r>
                          <w:r>
                            <w:rPr>
                              <w:rFonts w:cs="B Mehr" w:hint="cs"/>
                            </w:rPr>
                            <w:t xml:space="preserve"> </w:t>
                          </w:r>
                        </w:p>
                        <w:p w14:paraId="7DEF162F" w14:textId="77777777" w:rsidR="00FB6D9A" w:rsidRDefault="00FB6D9A" w:rsidP="00FB6D9A">
                          <w:pPr>
                            <w:jc w:val="right"/>
                            <w:rPr>
                              <w:rFonts w:cs="B Mehr"/>
                            </w:rPr>
                          </w:pPr>
                          <w:r>
                            <w:rPr>
                              <w:rFonts w:cs="B Mehr" w:hint="cs"/>
                              <w:rtl/>
                            </w:rPr>
                            <w:t xml:space="preserve">مبحث: نکاح    / مهر </w:t>
                          </w:r>
                        </w:p>
                        <w:p w14:paraId="58330856" w14:textId="147AAB35" w:rsidR="00FB6D9A" w:rsidRDefault="00FB6D9A" w:rsidP="00FB6D9A">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15</w:t>
                          </w:r>
                          <w:r>
                            <w:rPr>
                              <w:rFonts w:cs="B Mehr" w:hint="cs"/>
                              <w:rtl/>
                            </w:rPr>
                            <w:t xml:space="preserve"> آبان  ماه - 1402ه.ش</w:t>
                          </w:r>
                        </w:p>
                        <w:p w14:paraId="38D3B51E" w14:textId="77777777" w:rsidR="00FB6D9A" w:rsidRDefault="00FB6D9A" w:rsidP="00FB6D9A"/>
                        <w:p w14:paraId="2CD80CA0" w14:textId="77777777" w:rsidR="00FB6D9A" w:rsidRDefault="00FB6D9A" w:rsidP="00FB6D9A"/>
                        <w:p w14:paraId="77692FF6" w14:textId="77777777" w:rsidR="00FB6D9A" w:rsidRDefault="00FB6D9A" w:rsidP="00FB6D9A"/>
                        <w:p w14:paraId="1961E868" w14:textId="77777777" w:rsidR="00FB6D9A" w:rsidRDefault="00FB6D9A" w:rsidP="00FB6D9A"/>
                        <w:p w14:paraId="5C1D90F5" w14:textId="77777777" w:rsidR="00FB6D9A" w:rsidRDefault="00FB6D9A" w:rsidP="00FB6D9A"/>
                        <w:p w14:paraId="754EE32A" w14:textId="77777777" w:rsidR="00FB6D9A" w:rsidRDefault="00FB6D9A" w:rsidP="00FB6D9A"/>
                        <w:p w14:paraId="6E6DAC21" w14:textId="77777777" w:rsidR="00FB6D9A" w:rsidRDefault="00FB6D9A" w:rsidP="00FB6D9A"/>
                        <w:p w14:paraId="00716128" w14:textId="77777777" w:rsidR="00FB6D9A" w:rsidRDefault="00FB6D9A" w:rsidP="00FB6D9A"/>
                        <w:p w14:paraId="18A8F60E" w14:textId="77777777" w:rsidR="00FB6D9A" w:rsidRDefault="00FB6D9A" w:rsidP="00FB6D9A"/>
                        <w:p w14:paraId="24F4253F" w14:textId="77777777" w:rsidR="00FB6D9A" w:rsidRDefault="00FB6D9A" w:rsidP="00FB6D9A"/>
                        <w:p w14:paraId="45459CAB" w14:textId="77777777" w:rsidR="00FB6D9A" w:rsidRDefault="00FB6D9A" w:rsidP="00FB6D9A"/>
                        <w:p w14:paraId="1A9825DA" w14:textId="77777777" w:rsidR="00FB6D9A" w:rsidRDefault="00FB6D9A" w:rsidP="00FB6D9A"/>
                        <w:p w14:paraId="59F0D032" w14:textId="77777777" w:rsidR="00FB6D9A" w:rsidRDefault="00FB6D9A" w:rsidP="00FB6D9A"/>
                        <w:p w14:paraId="066FEA41" w14:textId="77777777" w:rsidR="00FB6D9A" w:rsidRDefault="00FB6D9A" w:rsidP="00FB6D9A"/>
                        <w:p w14:paraId="0E7A7C29" w14:textId="77777777" w:rsidR="00FB6D9A" w:rsidRDefault="00FB6D9A" w:rsidP="00FB6D9A"/>
                        <w:p w14:paraId="0BF9DB62" w14:textId="77777777" w:rsidR="00FB6D9A" w:rsidRDefault="00FB6D9A" w:rsidP="00FB6D9A"/>
                        <w:p w14:paraId="0B61F1B5" w14:textId="77777777" w:rsidR="00FB6D9A" w:rsidRDefault="00FB6D9A" w:rsidP="00FB6D9A"/>
                        <w:p w14:paraId="47825B95" w14:textId="77777777" w:rsidR="00FB6D9A" w:rsidRDefault="00FB6D9A" w:rsidP="00FB6D9A"/>
                        <w:p w14:paraId="6F00511F" w14:textId="77777777" w:rsidR="00FB6D9A" w:rsidRDefault="00FB6D9A" w:rsidP="00FB6D9A"/>
                        <w:p w14:paraId="7A3504F9" w14:textId="77777777" w:rsidR="00FB6D9A" w:rsidRDefault="00FB6D9A" w:rsidP="00FB6D9A"/>
                        <w:p w14:paraId="5F0CC841" w14:textId="77777777" w:rsidR="00FB6D9A" w:rsidRDefault="00FB6D9A" w:rsidP="00FB6D9A"/>
                        <w:p w14:paraId="086B52F0" w14:textId="77777777" w:rsidR="00FB6D9A" w:rsidRDefault="00FB6D9A" w:rsidP="00FB6D9A"/>
                        <w:p w14:paraId="18597531" w14:textId="77777777" w:rsidR="00FB6D9A" w:rsidRDefault="00FB6D9A" w:rsidP="00FB6D9A"/>
                        <w:p w14:paraId="1F79EA16" w14:textId="00F992BC" w:rsidR="00FB6D9A" w:rsidRDefault="00FB6D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1DBA90" id="_x0000_t202" coordsize="21600,21600" o:spt="202" path="m,l,21600r21600,l21600,xe">
              <v:stroke joinstyle="miter"/>
              <v:path gradientshapeok="t" o:connecttype="rect"/>
            </v:shapetype>
            <v:shape id="Text Box 2" o:spid="_x0000_s1026" type="#_x0000_t202" style="position:absolute;margin-left:172.45pt;margin-top:42pt;width:327.75pt;height:15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PoDAIAAPcDAAAOAAAAZHJzL2Uyb0RvYy54bWysU8GO0zAQvSPxD5bvNE3VLm3UdLV0KUJa&#10;FqSFD3Adp7FwPGbsNilfz9jJdgvcED5YHs/M88yb5/Vt3xp2Uug12JLnkylnykqotD2U/NvX3Zsl&#10;Zz4IWwkDVpX8rDy/3bx+te5coWbQgKkUMgKxvuhcyZsQXJFlXjaqFX4CTlly1oCtCGTiIatQdITe&#10;mmw2nd5kHWDlEKTynm7vByffJPy6VjJ8rmuvAjMlp9pC2jHt+7hnm7UoDihco+VYhviHKlqhLT16&#10;gboXQbAj6r+gWi0RPNRhIqHNoK61VKkH6iaf/tHNUyOcSr0QOd5daPL/D1Y+np7cF2Shfwc9DTA1&#10;4d0DyO+eWdg2wh7UHSJ0jRIVPZxHyrLO+WJMjVT7wkeQffcJKhqyOAZIQH2NbWSF+mSETgM4X0hX&#10;fWCSLuf5zWw+W3AmyZevljmNNb0hiud0hz58UNCyeCg50lQTvDg9+BDLEcVzSHzNg9HVThuTDDzs&#10;twbZSZACdmmN6L+FGcu6kq8WVEjMshDzkzhaHUihRrclX07jGjQT6XhvqxQShDbDmSoxduQnUjKQ&#10;E/p9T4GRpz1UZ2IKYVAi/Rw6NIA/OetIhSX3P44CFWfmoyW2V/l8HmWbjPni7YwMvPbsrz3CSoIq&#10;eeBsOG5DkvrQ0R1NpdaJr5dKxlpJXYnG8SdE+V7bKerlv25+AQAA//8DAFBLAwQUAAYACAAAACEA&#10;IVCgR94AAAALAQAADwAAAGRycy9kb3ducmV2LnhtbEyPQU7DMBBF90jcwRokNojagEmbNE4FSCC2&#10;LT3AJHGTqPE4it0mvT3TFSxH/+nP+/lmdr042zF0ngw8LRQIS5WvO2oM7H8+H1cgQkSqsfdkDVxs&#10;gE1xe5NjVvuJtva8i43gEgoZGmhjHDIpQ9Vah2HhB0ucHfzoMPI5NrIeceJy18tnpRLpsCP+0OJg&#10;P1pbHXcnZ+DwPT28plP5FffLrU7esVuW/mLM/d38tgYR7Rz/YLjqszoU7FT6E9VB9AZetE4ZNbDS&#10;vOkKKKU0iJKjNFEgi1z+31D8AgAA//8DAFBLAQItABQABgAIAAAAIQC2gziS/gAAAOEBAAATAAAA&#10;AAAAAAAAAAAAAAAAAABbQ29udGVudF9UeXBlc10ueG1sUEsBAi0AFAAGAAgAAAAhADj9If/WAAAA&#10;lAEAAAsAAAAAAAAAAAAAAAAALwEAAF9yZWxzLy5yZWxzUEsBAi0AFAAGAAgAAAAhAMu8U+gMAgAA&#10;9wMAAA4AAAAAAAAAAAAAAAAALgIAAGRycy9lMm9Eb2MueG1sUEsBAi0AFAAGAAgAAAAhACFQoEfe&#10;AAAACwEAAA8AAAAAAAAAAAAAAAAAZgQAAGRycy9kb3ducmV2LnhtbFBLBQYAAAAABAAEAPMAAABx&#10;BQAAAAA=&#10;" stroked="f">
              <v:textbox>
                <w:txbxContent>
                  <w:p w14:paraId="017EF0F8" w14:textId="77777777" w:rsidR="00FB6D9A" w:rsidRDefault="00FB6D9A" w:rsidP="00FB6D9A">
                    <w:pPr>
                      <w:bidi/>
                      <w:rPr>
                        <w:rFonts w:cs="B Mehr"/>
                      </w:rPr>
                    </w:pPr>
                    <w:r>
                      <w:rPr>
                        <w:rFonts w:cs="B Mehr" w:hint="cs"/>
                        <w:rtl/>
                      </w:rPr>
                      <w:t>تقریر درس خارج فقه،  استاد حاج سید علی موسوی اردبیلی</w:t>
                    </w:r>
                    <w:r>
                      <w:rPr>
                        <w:rFonts w:cs="B Mehr" w:hint="cs"/>
                      </w:rPr>
                      <w:t xml:space="preserve"> </w:t>
                    </w:r>
                  </w:p>
                  <w:p w14:paraId="7DEF162F" w14:textId="77777777" w:rsidR="00FB6D9A" w:rsidRDefault="00FB6D9A" w:rsidP="00FB6D9A">
                    <w:pPr>
                      <w:jc w:val="right"/>
                      <w:rPr>
                        <w:rFonts w:cs="B Mehr"/>
                      </w:rPr>
                    </w:pPr>
                    <w:r>
                      <w:rPr>
                        <w:rFonts w:cs="B Mehr" w:hint="cs"/>
                        <w:rtl/>
                      </w:rPr>
                      <w:t xml:space="preserve">مبحث: نکاح    / مهر </w:t>
                    </w:r>
                  </w:p>
                  <w:p w14:paraId="58330856" w14:textId="147AAB35" w:rsidR="00FB6D9A" w:rsidRDefault="00FB6D9A" w:rsidP="00FB6D9A">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15</w:t>
                    </w:r>
                    <w:r>
                      <w:rPr>
                        <w:rFonts w:cs="B Mehr" w:hint="cs"/>
                        <w:rtl/>
                      </w:rPr>
                      <w:t xml:space="preserve"> آبان  ماه - 1402ه.ش</w:t>
                    </w:r>
                  </w:p>
                  <w:p w14:paraId="38D3B51E" w14:textId="77777777" w:rsidR="00FB6D9A" w:rsidRDefault="00FB6D9A" w:rsidP="00FB6D9A"/>
                  <w:p w14:paraId="2CD80CA0" w14:textId="77777777" w:rsidR="00FB6D9A" w:rsidRDefault="00FB6D9A" w:rsidP="00FB6D9A"/>
                  <w:p w14:paraId="77692FF6" w14:textId="77777777" w:rsidR="00FB6D9A" w:rsidRDefault="00FB6D9A" w:rsidP="00FB6D9A"/>
                  <w:p w14:paraId="1961E868" w14:textId="77777777" w:rsidR="00FB6D9A" w:rsidRDefault="00FB6D9A" w:rsidP="00FB6D9A"/>
                  <w:p w14:paraId="5C1D90F5" w14:textId="77777777" w:rsidR="00FB6D9A" w:rsidRDefault="00FB6D9A" w:rsidP="00FB6D9A"/>
                  <w:p w14:paraId="754EE32A" w14:textId="77777777" w:rsidR="00FB6D9A" w:rsidRDefault="00FB6D9A" w:rsidP="00FB6D9A"/>
                  <w:p w14:paraId="6E6DAC21" w14:textId="77777777" w:rsidR="00FB6D9A" w:rsidRDefault="00FB6D9A" w:rsidP="00FB6D9A"/>
                  <w:p w14:paraId="00716128" w14:textId="77777777" w:rsidR="00FB6D9A" w:rsidRDefault="00FB6D9A" w:rsidP="00FB6D9A"/>
                  <w:p w14:paraId="18A8F60E" w14:textId="77777777" w:rsidR="00FB6D9A" w:rsidRDefault="00FB6D9A" w:rsidP="00FB6D9A"/>
                  <w:p w14:paraId="24F4253F" w14:textId="77777777" w:rsidR="00FB6D9A" w:rsidRDefault="00FB6D9A" w:rsidP="00FB6D9A"/>
                  <w:p w14:paraId="45459CAB" w14:textId="77777777" w:rsidR="00FB6D9A" w:rsidRDefault="00FB6D9A" w:rsidP="00FB6D9A"/>
                  <w:p w14:paraId="1A9825DA" w14:textId="77777777" w:rsidR="00FB6D9A" w:rsidRDefault="00FB6D9A" w:rsidP="00FB6D9A"/>
                  <w:p w14:paraId="59F0D032" w14:textId="77777777" w:rsidR="00FB6D9A" w:rsidRDefault="00FB6D9A" w:rsidP="00FB6D9A"/>
                  <w:p w14:paraId="066FEA41" w14:textId="77777777" w:rsidR="00FB6D9A" w:rsidRDefault="00FB6D9A" w:rsidP="00FB6D9A"/>
                  <w:p w14:paraId="0E7A7C29" w14:textId="77777777" w:rsidR="00FB6D9A" w:rsidRDefault="00FB6D9A" w:rsidP="00FB6D9A"/>
                  <w:p w14:paraId="0BF9DB62" w14:textId="77777777" w:rsidR="00FB6D9A" w:rsidRDefault="00FB6D9A" w:rsidP="00FB6D9A"/>
                  <w:p w14:paraId="0B61F1B5" w14:textId="77777777" w:rsidR="00FB6D9A" w:rsidRDefault="00FB6D9A" w:rsidP="00FB6D9A"/>
                  <w:p w14:paraId="47825B95" w14:textId="77777777" w:rsidR="00FB6D9A" w:rsidRDefault="00FB6D9A" w:rsidP="00FB6D9A"/>
                  <w:p w14:paraId="6F00511F" w14:textId="77777777" w:rsidR="00FB6D9A" w:rsidRDefault="00FB6D9A" w:rsidP="00FB6D9A"/>
                  <w:p w14:paraId="7A3504F9" w14:textId="77777777" w:rsidR="00FB6D9A" w:rsidRDefault="00FB6D9A" w:rsidP="00FB6D9A"/>
                  <w:p w14:paraId="5F0CC841" w14:textId="77777777" w:rsidR="00FB6D9A" w:rsidRDefault="00FB6D9A" w:rsidP="00FB6D9A"/>
                  <w:p w14:paraId="086B52F0" w14:textId="77777777" w:rsidR="00FB6D9A" w:rsidRDefault="00FB6D9A" w:rsidP="00FB6D9A"/>
                  <w:p w14:paraId="18597531" w14:textId="77777777" w:rsidR="00FB6D9A" w:rsidRDefault="00FB6D9A" w:rsidP="00FB6D9A"/>
                  <w:p w14:paraId="1F79EA16" w14:textId="00F992BC" w:rsidR="00FB6D9A" w:rsidRDefault="00FB6D9A"/>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F4C14B" wp14:editId="37A821BB">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7B2A4" w14:textId="77777777" w:rsidR="00FB6D9A" w:rsidRDefault="00FB6D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4E1"/>
    <w:rsid w:val="00025746"/>
    <w:rsid w:val="00025B4D"/>
    <w:rsid w:val="00026ABF"/>
    <w:rsid w:val="000277FA"/>
    <w:rsid w:val="00027A06"/>
    <w:rsid w:val="00034448"/>
    <w:rsid w:val="0003467C"/>
    <w:rsid w:val="0003525A"/>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3FB9"/>
    <w:rsid w:val="00064061"/>
    <w:rsid w:val="00064B62"/>
    <w:rsid w:val="00065987"/>
    <w:rsid w:val="00066A8F"/>
    <w:rsid w:val="0007062A"/>
    <w:rsid w:val="000728C1"/>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42C7"/>
    <w:rsid w:val="000D6046"/>
    <w:rsid w:val="000D769E"/>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5844"/>
    <w:rsid w:val="00147273"/>
    <w:rsid w:val="00147C87"/>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0DED"/>
    <w:rsid w:val="00251D8B"/>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2D56"/>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45C6"/>
    <w:rsid w:val="004549C2"/>
    <w:rsid w:val="004562B8"/>
    <w:rsid w:val="00456994"/>
    <w:rsid w:val="00457333"/>
    <w:rsid w:val="00457EC6"/>
    <w:rsid w:val="00460313"/>
    <w:rsid w:val="00461C8E"/>
    <w:rsid w:val="00462686"/>
    <w:rsid w:val="004626A1"/>
    <w:rsid w:val="004630D8"/>
    <w:rsid w:val="00463252"/>
    <w:rsid w:val="004668C6"/>
    <w:rsid w:val="00470062"/>
    <w:rsid w:val="00470380"/>
    <w:rsid w:val="00471E7C"/>
    <w:rsid w:val="00472814"/>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2DB6"/>
    <w:rsid w:val="00543C36"/>
    <w:rsid w:val="00543C5D"/>
    <w:rsid w:val="00544181"/>
    <w:rsid w:val="00546132"/>
    <w:rsid w:val="005470EC"/>
    <w:rsid w:val="0055085C"/>
    <w:rsid w:val="00551367"/>
    <w:rsid w:val="0055269E"/>
    <w:rsid w:val="005532E0"/>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E7FAD"/>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3AA3"/>
    <w:rsid w:val="00784CD7"/>
    <w:rsid w:val="007853C3"/>
    <w:rsid w:val="00786E73"/>
    <w:rsid w:val="00786EFE"/>
    <w:rsid w:val="00787836"/>
    <w:rsid w:val="0079140D"/>
    <w:rsid w:val="00793AC8"/>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9CE"/>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90A8F"/>
    <w:rsid w:val="00990C14"/>
    <w:rsid w:val="00992BE8"/>
    <w:rsid w:val="00995859"/>
    <w:rsid w:val="0099697B"/>
    <w:rsid w:val="00996A5B"/>
    <w:rsid w:val="009A014A"/>
    <w:rsid w:val="009A076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5285"/>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2E69"/>
    <w:rsid w:val="00B544E3"/>
    <w:rsid w:val="00B550C0"/>
    <w:rsid w:val="00B5592D"/>
    <w:rsid w:val="00B572FE"/>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2570"/>
    <w:rsid w:val="00BF2C43"/>
    <w:rsid w:val="00BF5AD9"/>
    <w:rsid w:val="00BF5F1A"/>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77F3D"/>
    <w:rsid w:val="00C80BB4"/>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40F"/>
    <w:rsid w:val="00E01FDF"/>
    <w:rsid w:val="00E03315"/>
    <w:rsid w:val="00E05A4B"/>
    <w:rsid w:val="00E12474"/>
    <w:rsid w:val="00E12891"/>
    <w:rsid w:val="00E12DC3"/>
    <w:rsid w:val="00E13C09"/>
    <w:rsid w:val="00E13F3E"/>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723F3"/>
    <w:rsid w:val="00E7457A"/>
    <w:rsid w:val="00E74781"/>
    <w:rsid w:val="00E749D3"/>
    <w:rsid w:val="00E74AB7"/>
    <w:rsid w:val="00E753E1"/>
    <w:rsid w:val="00E76EAB"/>
    <w:rsid w:val="00E77A81"/>
    <w:rsid w:val="00E80831"/>
    <w:rsid w:val="00E8129A"/>
    <w:rsid w:val="00E81B7F"/>
    <w:rsid w:val="00E81CBC"/>
    <w:rsid w:val="00E82746"/>
    <w:rsid w:val="00E83A32"/>
    <w:rsid w:val="00E84FE8"/>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D9A"/>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9255</TotalTime>
  <Pages>1</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1090</cp:revision>
  <cp:lastPrinted>2023-11-05T11:41:00Z</cp:lastPrinted>
  <dcterms:created xsi:type="dcterms:W3CDTF">2022-10-16T08:36:00Z</dcterms:created>
  <dcterms:modified xsi:type="dcterms:W3CDTF">2023-11-06T08:22:00Z</dcterms:modified>
</cp:coreProperties>
</file>